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rPr>
          <w:rFonts w:ascii="仿宋_GB2312" w:eastAsia="仿宋_GB2312"/>
          <w:sz w:val="32"/>
          <w:szCs w:val="32"/>
        </w:rPr>
      </w:pPr>
      <w:r>
        <w:rPr>
          <w:rFonts w:hint="eastAsia" w:ascii="仿宋_GB2312" w:eastAsia="仿宋_GB2312"/>
          <w:sz w:val="32"/>
          <w:szCs w:val="32"/>
        </w:rPr>
        <w:t>附件1：</w:t>
      </w:r>
    </w:p>
    <w:p>
      <w:pPr>
        <w:snapToGrid w:val="0"/>
        <w:spacing w:line="540" w:lineRule="exact"/>
        <w:rPr>
          <w:rFonts w:hint="eastAsia" w:ascii="仿宋_GB2312" w:eastAsia="仿宋_GB2312"/>
          <w:sz w:val="32"/>
          <w:szCs w:val="32"/>
        </w:rPr>
      </w:pPr>
    </w:p>
    <w:p>
      <w:pPr>
        <w:snapToGrid w:val="0"/>
        <w:spacing w:line="540" w:lineRule="exact"/>
        <w:jc w:val="center"/>
        <w:rPr>
          <w:rFonts w:hint="eastAsia"/>
          <w:sz w:val="32"/>
          <w:szCs w:val="32"/>
        </w:rPr>
      </w:pPr>
      <w:r>
        <w:rPr>
          <w:rFonts w:hint="eastAsia" w:ascii="宋体"/>
          <w:b/>
          <w:sz w:val="44"/>
          <w:szCs w:val="44"/>
        </w:rPr>
        <w:t>银川市政协</w:t>
      </w:r>
      <w:r>
        <w:rPr>
          <w:rFonts w:hint="eastAsia" w:ascii="宋体"/>
          <w:b/>
          <w:sz w:val="44"/>
          <w:szCs w:val="44"/>
          <w:lang w:eastAsia="zh-CN"/>
        </w:rPr>
        <w:t>十三</w:t>
      </w:r>
      <w:r>
        <w:rPr>
          <w:rFonts w:hint="eastAsia" w:ascii="宋体"/>
          <w:b/>
          <w:sz w:val="44"/>
          <w:szCs w:val="44"/>
        </w:rPr>
        <w:t>届</w:t>
      </w:r>
      <w:r>
        <w:rPr>
          <w:rFonts w:hint="eastAsia" w:ascii="宋体"/>
          <w:b/>
          <w:sz w:val="44"/>
          <w:szCs w:val="44"/>
          <w:lang w:eastAsia="zh-CN"/>
        </w:rPr>
        <w:t>二</w:t>
      </w:r>
      <w:r>
        <w:rPr>
          <w:rFonts w:hint="eastAsia" w:ascii="宋体"/>
          <w:b/>
          <w:sz w:val="44"/>
          <w:szCs w:val="44"/>
        </w:rPr>
        <w:t>次会议提案</w:t>
      </w:r>
      <w:r>
        <w:rPr>
          <w:rFonts w:hint="eastAsia" w:ascii="宋体" w:hAnsi="宋体" w:eastAsia="宋体" w:cs="宋体"/>
          <w:b/>
          <w:bCs/>
          <w:sz w:val="44"/>
          <w:szCs w:val="44"/>
        </w:rPr>
        <w:t>参考选题</w:t>
      </w:r>
    </w:p>
    <w:p>
      <w:pPr>
        <w:snapToGrid w:val="0"/>
        <w:spacing w:line="540" w:lineRule="exact"/>
        <w:jc w:val="center"/>
        <w:rPr>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一、经济社会建设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1、实施“反梯度”发展战略，进一步接轨产业前沿，</w:t>
      </w:r>
      <w:r>
        <w:rPr>
          <w:rFonts w:hint="eastAsia" w:ascii="仿宋_GB2312" w:hAnsi="仿宋_GB2312" w:eastAsia="仿宋_GB2312" w:cs="仿宋_GB2312"/>
          <w:sz w:val="32"/>
          <w:szCs w:val="32"/>
        </w:rPr>
        <w:t>大力发展新技术、新产业、新业态、新模式，加速催生经济增长新动能。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2、以改革启动新能量，聚集新业态，以创新驱动新经济发展。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3、以改革促开放，全面融入“一带一路”，提升内陆开放型经济发展水平。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4、以</w:t>
      </w:r>
      <w:r>
        <w:rPr>
          <w:rFonts w:hint="eastAsia" w:ascii="仿宋_GB2312" w:hAnsi="仿宋_GB2312" w:eastAsia="仿宋_GB2312" w:cs="仿宋_GB2312"/>
          <w:sz w:val="32"/>
          <w:szCs w:val="32"/>
          <w:lang w:eastAsia="zh-CN"/>
        </w:rPr>
        <w:t>银川</w:t>
      </w:r>
      <w:r>
        <w:rPr>
          <w:rFonts w:hint="eastAsia" w:ascii="仿宋_GB2312" w:hAnsi="仿宋_GB2312" w:eastAsia="仿宋_GB2312" w:cs="仿宋_GB2312"/>
          <w:sz w:val="32"/>
          <w:szCs w:val="32"/>
        </w:rPr>
        <w:t>空间发展战略规划为抓手，优化生产力布局，加快新型工业化、信息化、城镇化、农业现代化进程。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5、用创新思维改造提升传统产业，集中培育一批高新产业，占领制高点，延伸产业链，形成产业集群，做大产业规模，打造产业集群。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6、加快发展滨河新区、综合保税区、临港经济区、宁夏生态纺织产业示范园、通航产业、电子竞技等新产业，逐步实现经济发展方式从规模速度型粗放增长转向质量效益型集约型增长。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7、加速新型工业化，推动产业转型升级，推动工业化、信息化深度融合，推动经济结构由工业主导型向服务业主导型转变。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8、制定新兴产业发展规划，突出特色优势产业，坚持做大优质增量与调整优化存量。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9、把银川滨河新区申请上升为国家级新区，成为经济竞争和深化改革的重要平台，成为促进地区发展的突破口。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10、进一步拓展开放通道和平台，重点打造中阿网上、空中、陆路丝绸之路。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11、加大对企业培育扶持力度，支持龙头骨干企业进行战略合作或兼并重组，打造行业龙头。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12、加快信息产业化建设，推进大数据开放共享和云技术创新，发展大数据产业。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13、加快发展通航产业，迎接低空时代到来，带动产业结构升级。</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14、推动商贸服务业提档升级，提高服务业的质量和水平，打造特色街区和社区商业生活服务圈。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15、推进电子商务示范城市建设，打造区域性电子商务产业集聚区和电子商务培训基地，促进消费向生产和经营领域延伸。</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16、打造西部国际旅游目的地，整合提升东西两条文化旅游带功能。加大宣传推介，开拓韩国、台湾及阿拉伯国家和地区的入境游市场。完善旅游接待服务体系，推动观光游向休闲度假游转变。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17、加快农业现代化建设，以“三精”农业为抓手，加快建设国家级现代农业示范区，抓好农业提质增效。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18、转变农业发展方式，发展壮大特色农业，推进设施农业、有机水稻、奶畜产业、适水产业、酿酒葡萄规模化、标准化、专业化生产。</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19、突出园区产业特色，开展“腾笼换鸟”，提高产业园区企业科技附加值，延伸产业链。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20、提高园区承载能力，提高园区土地使用效率，加大企业投资强度，完善园区电力、供水、污水处理等基础设施建设。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21、加快加科技成果转化，搭建产学研创新平台，使更多的科技成果就地转化，变成实实在在的产业和产品。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22、实施人才优先发展战略，推进人才发展体制改革，创新人才使用机制，扩大人才政策开放度，抓好领军人才培养、急需紧缺人才引进等。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23、推动人才管理改革，实施人才优先发展战略，引进和培养高层次人才、高水平创新团队，为银川发展提供有力的智力支撑。</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24、拓宽融资渠道，支持企业对接资本市场，扩大股权、债务和票据等直接融资模式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二、政治法制建设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25、坚持依法治思维和法治方式推动发展，把全面依法治市落实到经济社会发展的各个方面。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26、加强和改进地方立法工作，制定完善立法协商工作制度。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27、深化完善行政体制改革，规范公共权力运行，转变政府职能，建立服务型政府。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28、深化司法体制改革，规范司法行为，促进司法公正，提高司法公信力</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29、增强全民法制观念，推进法治社会建设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30、进一步深化完善行政审批制度改革，推行行政审批标准化、信息化，营造“两优”环境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31、加大民主监督力度，不断拓宽民主监督渠道，强化权力监督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32、完善规范重大事项决策执行机制，提高科学决策、民主决策、依法决策水平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33、建立决策终身责任追究制度倒查机制，推进执法重心下移、执法力量下沉、权力运行公开，强化内部监督，推动建设务实高效、守法诚信的政府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34、全面推进“平安银川”建设，，健全社会治安防控体系，加强重点地区、场所和突出社会问题整治，打击各类犯罪</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35、深入推进逐级走访和诉访分离，引导群众依法表达诉求。依法维护群众权益，及时化解社会矛盾。</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社会建设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36、加快发展医疗卫生事业，提高人民健康水平。与区内外知名医疗机构合作，促进医疗资源与其融合发展。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37、加强社区卫生服务机构网格化建设，推进公立医院综合改革。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38、扶持和规范社会办医，规范和促进民营医疗机构健康发展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39、加大政策扶持力度，促进支持中医、回医发展。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40、加强与俄罗斯、韩国等国及医疗合作，提高医疗水平。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41、推动向社会购买学前教育服务，有效缓解入园难，入园贵问题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42、推进优质教育扩面提升工程，优化教育布局，加快中小学标准化建设，扩大优质高中资源覆盖面，实现义务教育均衡发展全覆盖</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43、合理配置公共教育资源，加快缩小城乡教育差距，促进义务教育均衡发展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44、创新职业教育办学机制，对接产业需求，优化专业设置， 加快培养合格劳动者和技能型人才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45、深化产教融合、校企合作办学，支持和规范民办教育发展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46、探索居家养老服务产业化，建立养老与社保、养老与医疗、养老与居家等相结合的养老体系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47、大力鼓励和扶持民办养老机构，发展促进社会养老服务业发展</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48、完善自主创业扶持政策，大力推进大众创业、万众创新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49、优化创业环境和服务体系，培育打造创业孵化示范基地，提高创业成功率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50、扎实开展精准扶贫，全力打赢脱贫攻坚战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51、加强基层社会服务管理，提升社会建设管理水平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52、完善城市社区建设与管理，促进社会和谐</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53、加强宗教事务管理，发挥宗教人士和信教群众在促进社会稳定、经济建设中的积极作用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54、促进城市管理提档升级，提升城市管理精细化、人性化、智能化水平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55、加强物价调控管理，保障弱势群体和困难群众基本生活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56、加强食品、药品安全监管力度，建立完善食品监管体系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57、改善劳动条件，依法保护劳动者权益，构建和谐劳动关系</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文化建设</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加快文化产业发展，健全公共文化服务体系，创新公共文化服务机制</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59、推动文化产业转型升级，打造银川世界电子竞技之都。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60、大力发展公益性文化事业，促进基本文化公共服务均等化</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61、完善公共健身设施，打造运动休闲特色品牌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62、加强文化遗产保护力度，传承发展民族优秀文化</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63、加强少数民族文化遗产的发掘和保护，扶持具有少数民族文化特色的优势产业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64、加强基层文化阵地建设，丰富拓展群众性文体活动内容</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生态建设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65、推动银川全域协调发展，加快建设银川、吴忠、宁东为主的大银川都市区发展。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66、注重城市风貌特色保护与研究，体现银川城市特色</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67、加快城市专项规划的编制，完善城乡规划的编制体系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68、推进全域空间一体化，加快推进永宁、贺兰与银川主城区同城化发展步伐，将望远、德胜与主城区统一规划、统一管理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69、优化城市空间布局，强化全域银川理念，保持舒朗、大气、清爽的城市风格，加强产城融合、组团发展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70、推进新型城镇化建设，以特色产业为引领，提高新型城镇化的水平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71、推进全域重大基础设施一体化，统筹城市道路、城市轻轨、客运枢纽等综合交通规划建设。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72、扎实推进“美丽乡村”建设，改造提升农村居住环境。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73、拓宽新型城镇化建设投融资渠道，推进资金保障多元化</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74、完善农村土地流转制度，有序规范推进土地流转工作。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75、完善城市防洪排体系，加快城市地下综合管廊建设，提高城市综合承载能力</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76、加快公交优先发展，优化公交线网布局和站点设置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77、加快建设步行、自行车等慢行系统，促进绿色低碳出行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78、深入开展“美丽银川行动”，打造“碧水蓝天、明媚银川”城市名片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79、加大对雾霾治理，抓好工业废气、机动车尾气、建筑扬尘等治理，让银川的天更蓝，水更绿、空气更清新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80、加强我市水资源保护工作，保障市民饮水安全</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81、重视和保障城市居民区二次供水安全、卫生。</w:t>
      </w:r>
    </w:p>
    <w:p>
      <w:pPr>
        <w:spacing w:before="100" w:beforeAutospacing="1" w:after="100" w:afterAutospacing="1" w:line="520" w:lineRule="exact"/>
        <w:jc w:val="left"/>
      </w:pPr>
      <w:bookmarkStart w:id="0" w:name="_GoBack"/>
      <w:bookmarkEnd w:id="0"/>
    </w:p>
    <w:sectPr>
      <w:footerReference r:id="rId3" w:type="default"/>
      <w:footerReference r:id="rId4" w:type="even"/>
      <w:pgSz w:w="11906" w:h="16838"/>
      <w:pgMar w:top="1440" w:right="1588" w:bottom="1402"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Tahoma">
    <w:panose1 w:val="020B0604030504040204"/>
    <w:charset w:val="00"/>
    <w:family w:val="decorative"/>
    <w:pitch w:val="default"/>
    <w:sig w:usb0="E1002EFF" w:usb1="C000605B" w:usb2="00000029" w:usb3="00000000" w:csb0="200101FF" w:csb1="20280000"/>
  </w:font>
  <w:font w:name="微软雅黑">
    <w:panose1 w:val="020B0503020204020204"/>
    <w:charset w:val="86"/>
    <w:family w:val="decorative"/>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roman"/>
    <w:pitch w:val="default"/>
    <w:sig w:usb0="E1002EFF" w:usb1="C000605B" w:usb2="00000029" w:usb3="00000000" w:csb0="200101FF" w:csb1="20280000"/>
  </w:font>
  <w:font w:name="微软雅黑">
    <w:panose1 w:val="020B0503020204020204"/>
    <w:charset w:val="86"/>
    <w:family w:val="roman"/>
    <w:pitch w:val="default"/>
    <w:sig w:usb0="80000287" w:usb1="280F3C52" w:usb2="00000016" w:usb3="00000000" w:csb0="0004001F" w:csb1="00000000"/>
  </w:font>
  <w:font w:name="Tahoma">
    <w:panose1 w:val="020B0604030504040204"/>
    <w:charset w:val="00"/>
    <w:family w:val="modern"/>
    <w:pitch w:val="default"/>
    <w:sig w:usb0="E1002EFF" w:usb1="C000605B" w:usb2="00000029" w:usb3="00000000" w:csb0="200101FF" w:csb1="20280000"/>
  </w:font>
  <w:font w:name="微软雅黑">
    <w:panose1 w:val="020B0503020204020204"/>
    <w:charset w:val="86"/>
    <w:family w:val="modern"/>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
    <w:nsid w:val="00000004"/>
    <w:multiLevelType w:val="singleLevel"/>
    <w:tmpl w:val="00000004"/>
    <w:lvl w:ilvl="0" w:tentative="1">
      <w:start w:val="5"/>
      <w:numFmt w:val="chineseCounting"/>
      <w:suff w:val="nothing"/>
      <w:lvlText w:val="%1、"/>
      <w:lvlJc w:val="left"/>
      <w:rPr>
        <w:rFonts w:cs="Times New Roman"/>
      </w:rPr>
    </w:lvl>
  </w:abstractNum>
  <w:abstractNum w:abstractNumId="12">
    <w:nsid w:val="0000000C"/>
    <w:multiLevelType w:val="singleLevel"/>
    <w:tmpl w:val="0000000C"/>
    <w:lvl w:ilvl="0" w:tentative="1">
      <w:start w:val="58"/>
      <w:numFmt w:val="decimal"/>
      <w:suff w:val="nothing"/>
      <w:lvlText w:val="%1、"/>
      <w:lvlJc w:val="left"/>
    </w:lvl>
  </w:abstractNum>
  <w:abstractNum w:abstractNumId="1">
    <w:nsid w:val="00000001"/>
    <w:multiLevelType w:val="singleLevel"/>
    <w:tmpl w:val="00000001"/>
    <w:lvl w:ilvl="0" w:tentative="1">
      <w:start w:val="4"/>
      <w:numFmt w:val="chineseCounting"/>
      <w:suff w:val="nothing"/>
      <w:lvlText w:val="%1、"/>
      <w:lvlJc w:val="left"/>
      <w:rPr>
        <w:rFonts w:cs="Times New Roman"/>
      </w:rPr>
    </w:lvl>
  </w:abstractNum>
  <w:abstractNum w:abstractNumId="13">
    <w:nsid w:val="0000000D"/>
    <w:multiLevelType w:val="singleLevel"/>
    <w:tmpl w:val="0000000D"/>
    <w:lvl w:ilvl="0" w:tentative="1">
      <w:start w:val="3"/>
      <w:numFmt w:val="chineseCounting"/>
      <w:suff w:val="nothing"/>
      <w:lvlText w:val="%1、"/>
      <w:lvlJc w:val="left"/>
      <w:rPr>
        <w:rFonts w:cs="Times New Roman"/>
      </w:rPr>
    </w:lvl>
  </w:abstractNum>
  <w:num w:numId="1">
    <w:abstractNumId w:val="13"/>
  </w:num>
  <w:num w:numId="2">
    <w:abstractNumId w:val="1"/>
  </w:num>
  <w:num w:numId="3">
    <w:abstractNumId w:val="12"/>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2706D6"/>
    <w:rsid w:val="07235BC1"/>
    <w:rsid w:val="078B42EC"/>
    <w:rsid w:val="07DD40F6"/>
    <w:rsid w:val="094D3053"/>
    <w:rsid w:val="0E242F5E"/>
    <w:rsid w:val="0E79744D"/>
    <w:rsid w:val="15B25EA5"/>
    <w:rsid w:val="279B2689"/>
    <w:rsid w:val="2B5C5632"/>
    <w:rsid w:val="32FF7EB7"/>
    <w:rsid w:val="35026383"/>
    <w:rsid w:val="35430471"/>
    <w:rsid w:val="3952319A"/>
    <w:rsid w:val="4F124ACB"/>
    <w:rsid w:val="4F411D97"/>
    <w:rsid w:val="51253231"/>
    <w:rsid w:val="515E0E0C"/>
    <w:rsid w:val="528C037B"/>
    <w:rsid w:val="57CD239A"/>
    <w:rsid w:val="599F2BCC"/>
    <w:rsid w:val="672706D6"/>
    <w:rsid w:val="6F492C5B"/>
    <w:rsid w:val="72910548"/>
    <w:rsid w:val="7556678F"/>
    <w:rsid w:val="7F5215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link w:val="4"/>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4">
    <w:name w:val=" Char"/>
    <w:basedOn w:val="1"/>
    <w:link w:val="3"/>
    <w:qFormat/>
    <w:uiPriority w:val="0"/>
  </w:style>
  <w:style w:type="character" w:styleId="5">
    <w:name w:val="page number"/>
    <w:basedOn w:val="3"/>
    <w:qFormat/>
    <w:uiPriority w:val="0"/>
  </w:style>
  <w:style w:type="character" w:styleId="6">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2017-06-07T03:27:00Z</dcterms:created>
  <dc:creator>Administrator</dc:creator>
  <cp:lastModifiedBy>Administrator</cp:lastModifiedBy>
  <cp:lastPrinted>2017-06-08T08:18:00Z</cp:lastPrinted>
  <dcterms:modified xsi:type="dcterms:W3CDTF">2017-06-09T08:24:02Z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2052-10.1.0.5989</vt:lpwstr>
  </property>
</Properties>
</file>